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82E64">
      <w:pPr>
        <w:pStyle w:val="3"/>
        <w:keepNext w:val="0"/>
        <w:keepLines w:val="0"/>
        <w:widowControl/>
        <w:suppressLineNumbers w:val="0"/>
        <w:spacing w:before="166" w:beforeAutospacing="0" w:after="76" w:afterAutospacing="0" w:line="525" w:lineRule="atLeast"/>
        <w:ind w:right="0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崇阳县科经局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首违免罚事项清单</w:t>
      </w:r>
    </w:p>
    <w:p w14:paraId="699541B1">
      <w:pPr>
        <w:pStyle w:val="3"/>
        <w:keepNext w:val="0"/>
        <w:keepLines w:val="0"/>
        <w:widowControl/>
        <w:suppressLineNumbers w:val="0"/>
        <w:spacing w:before="166" w:beforeAutospacing="0" w:after="76" w:afterAutospacing="0" w:line="525" w:lineRule="atLeast"/>
        <w:ind w:right="0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2665"/>
        <w:gridCol w:w="3705"/>
        <w:gridCol w:w="3030"/>
        <w:gridCol w:w="3810"/>
      </w:tblGrid>
      <w:tr w14:paraId="318DD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905" w:type="dxa"/>
            <w:vAlign w:val="center"/>
          </w:tcPr>
          <w:p w14:paraId="2C286FC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6" w:beforeAutospacing="0" w:after="76" w:afterAutospacing="0" w:line="525" w:lineRule="atLeast"/>
              <w:ind w:right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2665" w:type="dxa"/>
          </w:tcPr>
          <w:p w14:paraId="4A2F20C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6" w:beforeAutospacing="0" w:after="76" w:afterAutospacing="0" w:line="525" w:lineRule="atLeast"/>
              <w:ind w:right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处罚事项</w:t>
            </w:r>
          </w:p>
        </w:tc>
        <w:tc>
          <w:tcPr>
            <w:tcW w:w="3705" w:type="dxa"/>
          </w:tcPr>
          <w:p w14:paraId="682D3FF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6" w:beforeAutospacing="0" w:after="76" w:afterAutospacing="0" w:line="525" w:lineRule="atLeast"/>
              <w:ind w:right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首违免罚的情形</w:t>
            </w:r>
          </w:p>
        </w:tc>
        <w:tc>
          <w:tcPr>
            <w:tcW w:w="3030" w:type="dxa"/>
          </w:tcPr>
          <w:p w14:paraId="4499D80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6" w:beforeAutospacing="0" w:after="76" w:afterAutospacing="0" w:line="525" w:lineRule="atLeast"/>
              <w:ind w:right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首违免罚的依据</w:t>
            </w:r>
          </w:p>
        </w:tc>
        <w:tc>
          <w:tcPr>
            <w:tcW w:w="3810" w:type="dxa"/>
          </w:tcPr>
          <w:p w14:paraId="46E75DC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6" w:beforeAutospacing="0" w:after="76" w:afterAutospacing="0" w:line="525" w:lineRule="atLeast"/>
              <w:ind w:right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配套监管措施</w:t>
            </w:r>
          </w:p>
        </w:tc>
      </w:tr>
      <w:tr w14:paraId="28CC8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</w:trPr>
        <w:tc>
          <w:tcPr>
            <w:tcW w:w="905" w:type="dxa"/>
            <w:vAlign w:val="center"/>
          </w:tcPr>
          <w:p w14:paraId="19D425C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665" w:type="dxa"/>
            <w:vAlign w:val="center"/>
          </w:tcPr>
          <w:p w14:paraId="2292244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对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涉嫌违反校外培训有关法律、法规和规章行为的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处罚。</w:t>
            </w:r>
          </w:p>
        </w:tc>
        <w:tc>
          <w:tcPr>
            <w:tcW w:w="3705" w:type="dxa"/>
            <w:vAlign w:val="center"/>
          </w:tcPr>
          <w:p w14:paraId="7904EA4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在作出行政处罚决定前，当事人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在限期内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及时改正并积极消除危害后果的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。</w:t>
            </w:r>
          </w:p>
        </w:tc>
        <w:tc>
          <w:tcPr>
            <w:tcW w:w="3030" w:type="dxa"/>
            <w:vAlign w:val="center"/>
          </w:tcPr>
          <w:p w14:paraId="3E7BF83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校外培训行政处罚暂行办法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》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第三十二条。</w:t>
            </w:r>
          </w:p>
        </w:tc>
        <w:tc>
          <w:tcPr>
            <w:tcW w:w="3810" w:type="dxa"/>
            <w:vAlign w:val="center"/>
          </w:tcPr>
          <w:p w14:paraId="52EFC35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包容观察、容缺执法、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说服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教育、行政约谈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。</w:t>
            </w:r>
          </w:p>
        </w:tc>
      </w:tr>
    </w:tbl>
    <w:p w14:paraId="67527E8B">
      <w:pPr>
        <w:pStyle w:val="3"/>
        <w:keepNext w:val="0"/>
        <w:keepLines w:val="0"/>
        <w:widowControl/>
        <w:suppressLineNumbers w:val="0"/>
        <w:spacing w:before="166" w:beforeAutospacing="0" w:after="76" w:afterAutospacing="0" w:line="525" w:lineRule="atLeast"/>
        <w:ind w:right="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说明：配套监管措施主要是包容观察、预警提示、容缺执法、说服教育、劝导示范、行政建议、行政指导、行政约谈、行政告诫、行政回访等方式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6426A6C9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br w:type="page"/>
      </w:r>
    </w:p>
    <w:p w14:paraId="196985E4"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崇阳县科经局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不予处罚事项清单</w:t>
      </w:r>
    </w:p>
    <w:p w14:paraId="2E049C9D"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tbl>
      <w:tblPr>
        <w:tblStyle w:val="5"/>
        <w:tblW w:w="13600" w:type="dxa"/>
        <w:tblInd w:w="1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2110"/>
        <w:gridCol w:w="4440"/>
        <w:gridCol w:w="2895"/>
        <w:gridCol w:w="3230"/>
      </w:tblGrid>
      <w:tr w14:paraId="46A75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25" w:type="dxa"/>
          </w:tcPr>
          <w:p w14:paraId="5475DF98">
            <w:pPr>
              <w:spacing w:line="72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110" w:type="dxa"/>
          </w:tcPr>
          <w:p w14:paraId="425C2281">
            <w:pPr>
              <w:spacing w:line="72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处罚事项</w:t>
            </w:r>
          </w:p>
        </w:tc>
        <w:tc>
          <w:tcPr>
            <w:tcW w:w="4440" w:type="dxa"/>
          </w:tcPr>
          <w:p w14:paraId="2B111C2C">
            <w:pPr>
              <w:spacing w:line="72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不予处罚的情形</w:t>
            </w:r>
          </w:p>
        </w:tc>
        <w:tc>
          <w:tcPr>
            <w:tcW w:w="2895" w:type="dxa"/>
          </w:tcPr>
          <w:p w14:paraId="11478C32">
            <w:pPr>
              <w:spacing w:line="72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不予处罚的依据</w:t>
            </w:r>
          </w:p>
        </w:tc>
        <w:tc>
          <w:tcPr>
            <w:tcW w:w="3230" w:type="dxa"/>
          </w:tcPr>
          <w:p w14:paraId="688B5341">
            <w:pPr>
              <w:spacing w:line="72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配套监管措施</w:t>
            </w:r>
          </w:p>
        </w:tc>
      </w:tr>
      <w:tr w14:paraId="552F2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2" w:hRule="atLeast"/>
        </w:trPr>
        <w:tc>
          <w:tcPr>
            <w:tcW w:w="925" w:type="dxa"/>
            <w:vAlign w:val="center"/>
          </w:tcPr>
          <w:p w14:paraId="4E172B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10" w:type="dxa"/>
            <w:vAlign w:val="center"/>
          </w:tcPr>
          <w:p w14:paraId="6A681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对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涉嫌违反校外培训有关法律、法规和规章行为的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处罚。</w:t>
            </w:r>
          </w:p>
        </w:tc>
        <w:tc>
          <w:tcPr>
            <w:tcW w:w="4440" w:type="dxa"/>
            <w:vAlign w:val="center"/>
          </w:tcPr>
          <w:p w14:paraId="52DE3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一）校外培训违法行为轻微并及时改正，没有造成危害后果的；（二）当事人有证据足以证明没有主观过错的；（三）违法行为已经超过给予行政处罚的法定期限的；（四）法律、法规、规章规定的其他不予处罚情形。初次违法且危害后果轻微并及时改正的，可以不予处罚。</w:t>
            </w:r>
          </w:p>
        </w:tc>
        <w:tc>
          <w:tcPr>
            <w:tcW w:w="2895" w:type="dxa"/>
            <w:vAlign w:val="center"/>
          </w:tcPr>
          <w:p w14:paraId="76F12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校外培训行政处罚暂行办法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》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第十五条。</w:t>
            </w:r>
          </w:p>
        </w:tc>
        <w:tc>
          <w:tcPr>
            <w:tcW w:w="3230" w:type="dxa"/>
            <w:vAlign w:val="center"/>
          </w:tcPr>
          <w:p w14:paraId="08794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包容观察、容缺执法、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说服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教育、行政约谈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。</w:t>
            </w:r>
          </w:p>
        </w:tc>
      </w:tr>
    </w:tbl>
    <w:p w14:paraId="2168D9B0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说明：配套监管措施主要是包容观察、预警提示、容缺执法、说服教育、劝导示范、行政建议、行政指导、行政约谈、行政告诫、行政回访等方式。 </w:t>
      </w:r>
    </w:p>
    <w:p w14:paraId="35A0D9BE"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br w:type="page"/>
      </w:r>
    </w:p>
    <w:p w14:paraId="1CE4EF8C"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崇阳县科经局减轻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处罚事项清单</w:t>
      </w:r>
    </w:p>
    <w:p w14:paraId="5276928B"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p w14:paraId="419384EB">
      <w:pPr>
        <w:rPr>
          <w:rFonts w:hint="eastAsia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740"/>
        <w:gridCol w:w="6000"/>
        <w:gridCol w:w="2776"/>
        <w:gridCol w:w="2400"/>
      </w:tblGrid>
      <w:tr w14:paraId="4E8AE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870" w:type="dxa"/>
          </w:tcPr>
          <w:p w14:paraId="797B66FF">
            <w:pPr>
              <w:spacing w:line="72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740" w:type="dxa"/>
          </w:tcPr>
          <w:p w14:paraId="3DF864B1">
            <w:pPr>
              <w:spacing w:line="72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处罚事项</w:t>
            </w:r>
          </w:p>
        </w:tc>
        <w:tc>
          <w:tcPr>
            <w:tcW w:w="6000" w:type="dxa"/>
          </w:tcPr>
          <w:p w14:paraId="6C1A2A8F">
            <w:pPr>
              <w:spacing w:line="72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从轻处罚的情形</w:t>
            </w:r>
          </w:p>
        </w:tc>
        <w:tc>
          <w:tcPr>
            <w:tcW w:w="2776" w:type="dxa"/>
          </w:tcPr>
          <w:p w14:paraId="6F5DAE3E">
            <w:pPr>
              <w:spacing w:line="72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从轻处罚的依据</w:t>
            </w:r>
          </w:p>
        </w:tc>
        <w:tc>
          <w:tcPr>
            <w:tcW w:w="2400" w:type="dxa"/>
          </w:tcPr>
          <w:p w14:paraId="7A7183A4">
            <w:pPr>
              <w:spacing w:line="72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配套监管措施</w:t>
            </w:r>
          </w:p>
        </w:tc>
      </w:tr>
      <w:tr w14:paraId="2FD87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5" w:hRule="atLeast"/>
        </w:trPr>
        <w:tc>
          <w:tcPr>
            <w:tcW w:w="870" w:type="dxa"/>
            <w:vAlign w:val="center"/>
          </w:tcPr>
          <w:p w14:paraId="72A9A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2A295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对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涉嫌违反校外培训有关法律、法规和规章行为的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处罚。</w:t>
            </w:r>
          </w:p>
        </w:tc>
        <w:tc>
          <w:tcPr>
            <w:tcW w:w="6000" w:type="dxa"/>
            <w:shd w:val="clear" w:color="auto" w:fill="auto"/>
            <w:vAlign w:val="center"/>
          </w:tcPr>
          <w:p w14:paraId="2344C1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一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主动供述校外培训主管部门尚未掌握的违法行为的；</w:t>
            </w:r>
          </w:p>
          <w:p w14:paraId="7EAB47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）配合校外培训主管部门查处违法行为有立功表现的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；</w:t>
            </w:r>
          </w:p>
          <w:p w14:paraId="7979BC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）法律、法规、规章规定其他应当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减轻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行政处罚的。</w:t>
            </w:r>
          </w:p>
        </w:tc>
        <w:tc>
          <w:tcPr>
            <w:tcW w:w="2776" w:type="dxa"/>
            <w:shd w:val="clear" w:color="auto" w:fill="auto"/>
            <w:vAlign w:val="center"/>
          </w:tcPr>
          <w:p w14:paraId="6A8C3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校外培训行政处罚暂行办法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》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第十四条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。</w:t>
            </w:r>
          </w:p>
        </w:tc>
        <w:tc>
          <w:tcPr>
            <w:tcW w:w="2400" w:type="dxa"/>
            <w:vAlign w:val="center"/>
          </w:tcPr>
          <w:p w14:paraId="4AF2A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包容观察、容缺执法、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说服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教育、行政约谈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。</w:t>
            </w:r>
          </w:p>
        </w:tc>
      </w:tr>
    </w:tbl>
    <w:p w14:paraId="3EBC7ACF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8"/>
          <w:szCs w:val="28"/>
        </w:rPr>
        <w:t>说明：配套监管措施主要是包容观察、预警提示、容缺执法、说服教育、劝导示范、行政建议、行政指导、行政约谈、行政告诫、行政回访等方式。</w:t>
      </w:r>
    </w:p>
    <w:p w14:paraId="31E3A029">
      <w:pPr>
        <w:rPr>
          <w:rFonts w:hint="eastAsia"/>
        </w:rPr>
      </w:pPr>
      <w:r>
        <w:rPr>
          <w:rFonts w:hint="eastAsia" w:ascii="仿宋" w:hAnsi="仿宋" w:eastAsia="仿宋" w:cs="仿宋"/>
          <w:sz w:val="24"/>
          <w:szCs w:val="24"/>
        </w:rPr>
        <w:br w:type="page"/>
      </w:r>
    </w:p>
    <w:p w14:paraId="251BFFC1"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崇阳县科经局从轻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处罚事项清单</w:t>
      </w:r>
    </w:p>
    <w:p w14:paraId="71C7EEE2"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1999"/>
        <w:gridCol w:w="4845"/>
        <w:gridCol w:w="3044"/>
        <w:gridCol w:w="2728"/>
      </w:tblGrid>
      <w:tr w14:paraId="7123A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021" w:type="dxa"/>
          </w:tcPr>
          <w:p w14:paraId="35AF50B8">
            <w:pPr>
              <w:spacing w:line="72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999" w:type="dxa"/>
          </w:tcPr>
          <w:p w14:paraId="7009B88B">
            <w:pPr>
              <w:spacing w:line="72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处罚事项</w:t>
            </w:r>
          </w:p>
        </w:tc>
        <w:tc>
          <w:tcPr>
            <w:tcW w:w="4845" w:type="dxa"/>
          </w:tcPr>
          <w:p w14:paraId="4CD70559">
            <w:pPr>
              <w:spacing w:line="72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减轻处罚情形</w:t>
            </w:r>
          </w:p>
        </w:tc>
        <w:tc>
          <w:tcPr>
            <w:tcW w:w="3044" w:type="dxa"/>
          </w:tcPr>
          <w:p w14:paraId="5A4496AE">
            <w:pPr>
              <w:spacing w:line="72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减轻处罚的依据</w:t>
            </w:r>
          </w:p>
        </w:tc>
        <w:tc>
          <w:tcPr>
            <w:tcW w:w="2728" w:type="dxa"/>
          </w:tcPr>
          <w:p w14:paraId="32E17D58">
            <w:pPr>
              <w:spacing w:line="72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配套监管措施</w:t>
            </w:r>
          </w:p>
        </w:tc>
      </w:tr>
      <w:tr w14:paraId="731BD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0" w:hRule="atLeast"/>
        </w:trPr>
        <w:tc>
          <w:tcPr>
            <w:tcW w:w="1021" w:type="dxa"/>
            <w:vAlign w:val="center"/>
          </w:tcPr>
          <w:p w14:paraId="1A740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99" w:type="dxa"/>
            <w:vAlign w:val="center"/>
          </w:tcPr>
          <w:p w14:paraId="61234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对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涉嫌违反校外培训有关法律、法规和规章行为的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处罚。</w:t>
            </w:r>
          </w:p>
        </w:tc>
        <w:tc>
          <w:tcPr>
            <w:tcW w:w="4845" w:type="dxa"/>
            <w:vAlign w:val="center"/>
          </w:tcPr>
          <w:p w14:paraId="728EB4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主动消除或者减轻违法行为危害后果的；</w:t>
            </w:r>
          </w:p>
          <w:p w14:paraId="1458EA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（二）受他人胁迫或者诱骗实施违法行为的；</w:t>
            </w:r>
          </w:p>
          <w:p w14:paraId="0601E4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）法律、法规、规章规定其他应当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从轻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行政处罚的。</w:t>
            </w:r>
          </w:p>
        </w:tc>
        <w:tc>
          <w:tcPr>
            <w:tcW w:w="3044" w:type="dxa"/>
            <w:vAlign w:val="center"/>
          </w:tcPr>
          <w:p w14:paraId="3B0CD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校外培训行政处罚暂行办法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》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第十四条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。</w:t>
            </w:r>
          </w:p>
        </w:tc>
        <w:tc>
          <w:tcPr>
            <w:tcW w:w="2728" w:type="dxa"/>
            <w:vAlign w:val="center"/>
          </w:tcPr>
          <w:p w14:paraId="17022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包容观察、容缺执法、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说服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教育、行政约谈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。</w:t>
            </w:r>
          </w:p>
        </w:tc>
      </w:tr>
    </w:tbl>
    <w:p w14:paraId="6F603210">
      <w:pPr>
        <w:jc w:val="left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r>
        <w:rPr>
          <w:rFonts w:hint="eastAsia" w:ascii="仿宋" w:hAnsi="仿宋" w:eastAsia="仿宋" w:cs="仿宋"/>
          <w:sz w:val="28"/>
          <w:szCs w:val="28"/>
        </w:rPr>
        <w:t>说明：配套监管措施主要是包容观察、预警提示、容缺执法、说服教育、劝导示范、行政建议、行政指导、行政约 谈、行政告诫、行政回访等方式。</w:t>
      </w:r>
    </w:p>
    <w:bookmarkEnd w:id="0"/>
    <w:p w14:paraId="74D24D3D">
      <w:pPr>
        <w:jc w:val="left"/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0172E3"/>
    <w:multiLevelType w:val="singleLevel"/>
    <w:tmpl w:val="FB0172E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zNDU0MWE1NWE2NWU3MDNkYjdkNjRiMjlhMDRhMjkifQ=="/>
  </w:docVars>
  <w:rsids>
    <w:rsidRoot w:val="6A064B58"/>
    <w:rsid w:val="0CAF58C0"/>
    <w:rsid w:val="12D35668"/>
    <w:rsid w:val="15B80793"/>
    <w:rsid w:val="17F00B34"/>
    <w:rsid w:val="18EF58AD"/>
    <w:rsid w:val="196E48B5"/>
    <w:rsid w:val="24215313"/>
    <w:rsid w:val="2FC90E3E"/>
    <w:rsid w:val="30BF1DB3"/>
    <w:rsid w:val="35B30926"/>
    <w:rsid w:val="411551BB"/>
    <w:rsid w:val="48B30099"/>
    <w:rsid w:val="53D33112"/>
    <w:rsid w:val="5E282BAE"/>
    <w:rsid w:val="6A064B58"/>
    <w:rsid w:val="6F1E4193"/>
    <w:rsid w:val="71701149"/>
    <w:rsid w:val="722B22B6"/>
    <w:rsid w:val="7D501F34"/>
    <w:rsid w:val="7ED7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975</Words>
  <Characters>975</Characters>
  <Lines>0</Lines>
  <Paragraphs>0</Paragraphs>
  <TotalTime>2</TotalTime>
  <ScaleCrop>false</ScaleCrop>
  <LinksUpToDate>false</LinksUpToDate>
  <CharactersWithSpaces>977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2022-06-20T08:08:00Z</dcterms:created>
  <dc:creator>Administrator</dc:creator>
  <cp:lastModifiedBy>芳</cp:lastModifiedBy>
  <cp:lastPrinted>2024-08-16T02:00:00Z</cp:lastPrinted>
  <dcterms:modified xsi:type="dcterms:W3CDTF">2024-08-16T02:19:06Z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1C8BA4F0F5C7469F9E8271C0AA19BA1C</vt:lpwstr>
  </property>
</Properties>
</file>